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天津市妇女儿童保健中心</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20</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25</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33</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履行妇幼公共卫生和妇儿保健服务两大职能。在履行公共卫生职能方面，对全市16个区级妇幼保健机构，近300个社区卫生机构，千余所托幼机构保健工作进行业务指导、技术培训、监督管理，并承担全市妇女、儿童的健康监测、科研流调、保健服务和健康教育工作，近年来，组织实施《天津市妇女儿童健康行动计划（2008-2012年）》、《天津市妇女儿童健康促进计划（2013-2020年）》、《天津市妇女儿童健康提升计划（2021-2030年）》，三部方案围绕“保障母婴安全，控制出生缺陷，提高妇儿健康”实施惠民项目。在履行保健职能方面，根据妇女儿童不同生理时期特点，搭建了涵盖全生命周期的保健业务平台，包括儿童生长发育、营养与喂养、先天性疾病筛查与干预、儿童心理与测评、高危儿童管理、儿科内分泌、儿童早期发展、五官皮肤保健等儿童健康业务，以及孕婴健康教育、遗传咨询、育龄期孕产保健、青春期保健、妇科疾病诊疗、孕产期疾病筛查、产前诊断、中医、妇儿实验检测等内容，满足人群的健康需求</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天津市妇女儿童保健中心。</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天津市妇女儿童保健中心</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65068467.57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78000000.00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110010035.31</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3745726.50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248615129.61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156550.66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253235053.54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252360856.11</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2101092.25</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16167901.90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14941007.08</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16167901.90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269402955.44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269402955.44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253235053.54</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143068467.57</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110010035.31</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156550.66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3745726.50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3745726.50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50000.00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行政事业单位养老支出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3676000.00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3676000.00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2080505</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机关事业单位基本养老保险缴费支出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2451000.00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2451000.00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2080506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机关事业单位职业年金缴费支出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1225000.00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1225000.00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19726.50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19726.50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2089999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19726.50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19726.50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249489327.04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139322741.07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110010035.31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156550.66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170450327.04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60283741.07</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110010035.31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156550.66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144646858.98</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34480273.01</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110010035.31</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156550.66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24785499.54</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24785499.54</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1017968.52</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1017968.52</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1039000.00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1039000.00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824000.00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824000.00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215000.00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78000000.00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78000000.00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公共卫生机构</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78000000.00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78000000.00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天津市妇女儿童保健中心</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269402955.44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253235053.54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65068467.57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78000000.00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110010035.31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156550.66</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368222</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天津市妇女儿童保健中心</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269402955.44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253235053.54</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65068467.57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78000000.00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110010035.31</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156550.66</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天津市妇女儿童保健中心</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16167901.90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16167901.90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16167901.90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368222</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天津市妇女儿童保健中心</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16167901.90</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16167901.90</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16167901.90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252360856.11</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126968447.64</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125392408.47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3745726.50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69726.50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行政事业单位养老支出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2080505</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机关事业单位基本养老保险缴费支出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2451000.00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2451000.00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2080506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机关事业单位职业年金缴费支出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2089999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248615129.61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123292447.64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125322681.97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169576129.61</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122253447.64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47322681.97</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妇幼保健机构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143772661.55</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122253447.64</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21519213.91</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基本公共卫生服务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24785499.54</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24785499.54</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1017968.52</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1017968.52</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1039000.00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1039000.00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824000.00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824000.00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78000000.00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78000000.00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公共卫生机构</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78000000.00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78000000.00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65068467.57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78000000.00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3745726.50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3745726.50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139322741.07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61322741.07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78000000.00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143068467.57</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143068467.57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65068467.57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78000000.00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143068467.57</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143068467.57</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65068467.57</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78000000.00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天津市妇女儿童保健中心</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65068467.57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19679900.00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18264100.00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1415800.00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45388567.57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3745726.50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69726.50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50000.00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行政事业单位养老支出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3676000.00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2080505</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机关事业单位基本养老保险缴费支出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2451000.00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2080506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机关事业单位职业年金缴费支出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1225000.00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19726.50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61322741.07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16003900.00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14588100.00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1415800.00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45318841.07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60283741.07</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14964900.00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13549100.00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1415800.00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45318841.07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妇幼保健机构</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34480273.01</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14964900.00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13549100.00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1415800.00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19515373.01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基本公共卫生服务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24785499.54</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24785499.54</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1017968.52</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1017968.52</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1039000.00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824000.00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215000.00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17577100.00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1415800.00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2000000.00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8200600.00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2451000.00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1225000.00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804000.00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1259800.00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1522000.00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105000.00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1269500.00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687000.00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557000.00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130000.00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156000.00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18264100.00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1415800.00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78000000.00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78000000.00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78000000.00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2109803</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公共卫生机构</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天津市妇女儿童保健中心2025年度国有资本经营预算财政拨款收入支出决算表为空表。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天津市妇女儿童保健中心2025年财政拨款“三公”经费支出决算表为空表。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天津市妇女儿童保健中心</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125392408.47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45388567.57</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78000000.00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2003840.90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引进人才费用（新锐人才刘）</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2089999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其他社会保障和就业支出(抚恤金）</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19726.50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125322681.97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45318841.07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2003840.90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47322681.97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45318841.07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2003840.90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21519213.91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19515373.01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2003840.90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妇幼保健机构(业务保障经费）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528000.00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妇幼保健机构(迁址新建工程）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1755000.00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1755000.00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妇幼保健机构(产前诊断救治第二批）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妇幼保健机构(儿科转岗）</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妇幼保健机构(儿童先天性疾病筛查）</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6314160.00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6314160.00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妇幼保健机构(残疾预防无创）</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8640000.00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8640000.00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妇幼保健机构（出生缺陷培训第二批）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妇幼保健机构（出生缺陷培训）</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288000.00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妇幼保健机构(产前诊断救治）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1934213.01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1934213.01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妇幼保健机构（非财政专项）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2003840.90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2003840.90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24785499.54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24785499.54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基本公共卫生服务(两癌筛查）</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3605000.00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基本公共卫生服务(补服叶酸）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973000.00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973000.00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基本公共卫生服务(提升计划）</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20083499.54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20083499.54</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基本公共卫生服务（避孕手术）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24000.00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基本公共卫生服务(人口监测）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1017968.52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1017968.52</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重大公共卫生服务(妇幼监测）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325275.36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325275.36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重大公共卫生服务(艾滋病防治）</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500893.16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500893.16</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重大公共卫生服务(艾滋病项目2024年）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91300.00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91300.00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重大公共卫生服务(妇幼监测2024年）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100500.00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公共卫生机构</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公共卫生机构（迁址新建工程）</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78000000.00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269,402,955.44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增加69,056,924.07元，增长34.47%</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本年度我单位新增迁址新建工程，收入、支出总计增加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一般公共预算财政拨款收入65,068,467.57元、政府性基金预算财政拨款收入78,000,000.00元、事业收入110,010,035.31元、其他收入156,550.66元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社会保障和就业支出3,745,726.50元、卫生健康支出248,615,129.61元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253,235,053.54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增加70,398,448.18元，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本年度我单位新增迁址新建工程，收入合计增加</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一般公共预算财政拨款收入65,068,467.57元，占25.69%；政府性基金预算财政拨款收入78,000,000.00元，占30.80%；事业收入110,010,035.31元，占43.44%；其他收入156,550.66元，占0.06%</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252,360,856.11</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增加77,684,447.70元，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本年度我单位新增迁址新建工程，支出合计增加</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基本支出126,968,447.64元，占50.31%；项目支出125,392,408.47元，占49.69%</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143,068,467.57</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增加63,377,984.12元，增长79.53%，</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本年度我单位新增迁址新建工程，财政拨款收入、支出总计增加</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一般公共预算财政拨款65,068,467.57元、政府性基金预算财政拨款78,000,000.00元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社会保障和就业支出3,745,726.50元、卫生健康支出139,322,741.07元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天津市妇女儿童保健中心2025年度一般公共预算财政拨款支出合计65,068,467.57元，占本年支出合计的25.78%。与2024年度相比，一般公共预算财政拨款支出</w:t>
      </w:r>
      <w:r>
        <w:rPr>
          <w:rFonts w:eastAsia="仿宋_GB2312" w:hint="eastAsia"/>
          <w:sz w:val="30"/>
          <w:szCs w:val="30"/>
          <w:highlight w:val="none"/>
          <w:lang w:val="en-US" w:eastAsia="zh-CN"/>
        </w:rPr>
        <w:t xml:space="preserve">减少14,622,015.88元</w:t>
      </w:r>
      <w:r>
        <w:rPr>
          <w:rFonts w:eastAsia="仿宋_GB2312" w:hint="eastAsia"/>
          <w:sz w:val="30"/>
          <w:szCs w:val="30"/>
          <w:highlight w:val="none"/>
          <w:lang w:val="en-US" w:eastAsia="zh-CN"/>
        </w:rPr>
        <w:t xml:space="preserve">,下降18.35%</w:t>
      </w:r>
      <w:r>
        <w:rPr>
          <w:rFonts w:eastAsia="仿宋_GB2312" w:hint="eastAsia"/>
          <w:sz w:val="30"/>
          <w:szCs w:val="30"/>
          <w:highlight w:val="none"/>
          <w:lang w:val="en-US" w:eastAsia="zh-CN"/>
        </w:rPr>
        <w:t xml:space="preserve">，主要原因是生育率下降，无创基因筛查例数减少，财政项目经费相应减少。</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2025年度一般公共预算财政拨款支出65,068,467.57元，主要用于以下方面：</w:t>
      </w:r>
      <w:r>
        <w:rPr>
          <w:rFonts w:eastAsia="仿宋_GB2312" w:hint="eastAsia"/>
          <w:sz w:val="30"/>
          <w:szCs w:val="30"/>
          <w:highlight w:val="none"/>
        </w:rPr>
        <w:t xml:space="preserve">社会保障和就业支出（类）支出3,745,726.50元，占5.76%，卫生健康支出（类）支出61,322,741.07元，占94.24%</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2025年度一般公共预算财政拨款支出年初预算为70,840,800.00元，支出决算为65,068,467.57元</w:t>
      </w:r>
      <w:r>
        <w:rPr>
          <w:rFonts w:eastAsia="仿宋_GB2312" w:hint="eastAsia"/>
          <w:sz w:val="30"/>
          <w:szCs w:val="30"/>
          <w:highlight w:val="none"/>
          <w:lang w:val="en-US" w:eastAsia="zh-CN"/>
        </w:rPr>
        <w:t xml:space="preserve">，完成年初预算的91.85%</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1.社会保障和就业支出（类）人力资源和社会保障管理事务（款）引进人才费用（项）年初预算为0.00元，支出决算为50,000.00元，决算数大于年初预算数的主要原因是：年中追加了引进人才费用项目。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社会保障和就业支出（类）行政事业单位养老支出（款）机关事业单位基本养老保险缴费支出（项）年初预算为2,451,000.00元，支出决算为2,451,000.00元，完成年初预算的100.00%，决算数与年初预算数持平的主要原因是：严格按批复预算落实经费支出，杜绝无预算、超预算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社会保障和就业支出（类）行政事业单位养老支出（款）机关事业单位职业年金缴费支出（项）年初预算为1,225,000.00元，支出决算为1,225,000.00元，完成年初预算的100.00%，决算数与年初预算数持平的主要原因是：严格按批复预算落实经费支出，杜绝无预算、超预算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4.社会保障和就业支出（类）其他社会保障和就业支出（款）其他社会保障和就业支出（项）年初预算为0.00元，支出决算为19,726.50元，决算数大于年初预算数的主要原因是：年中追加了抚恤金项目。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公共卫生（款）妇幼保健机构（项）年初预算为36,400,000.00元，支出决算为34,480,273.01元，完成年初预算的94.73%，决算数小于年初预算数的主要原因是：生育率较预期下降，儿童疾病筛查例数减少，项目支出相应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公共卫生（款）基本公共卫生服务（项）年初预算为28,327,000.00元，支出决算为24,785,499.54元，完成年初预算的87.50%，决算数小于年初预算数的主要原因是：生育率较预期下降，无创基因筛查例数减少，项目支出相应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公共卫生（款）重大公共卫生服务（项）年初预算为1,398,800.00元，支出决算为1,017,968.52元，完成年初预算的72.77%，决算数小于年初预算数的主要原因是：生育率下降，筛查检测例数未达到预期，项目支出相应减少。</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卫生健康支出（类）行政事业单位医疗（款）事业单位医疗（项）年初预算为824,000.00元，支出决算为824,000.00元，完成年初预算的100.00%，决算数与年初预算数持平的主要原因是：严格按批复预算落实经费支出，杜绝无预算、超预算开支。</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9.卫生健康支出（类）行政事业单位医疗（款）其他行政事业单位医疗支出（项）年初预算为215,000.00元，支出决算为215,000.00元，完成年初预算的100.00%，决算数与年初预算数持平的主要原因是：严格按批复预算落实经费支出，杜绝无预算、超预算开支。</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天津市妇女儿童保健中心2025年度一般公共预算财政拨款基本支出合计19,679,900.00元，与2024年度相比</w:t>
      </w:r>
      <w:r>
        <w:rPr>
          <w:rFonts w:eastAsia="仿宋_GB2312" w:hint="eastAsia"/>
          <w:sz w:val="30"/>
          <w:szCs w:val="30"/>
          <w:highlight w:val="none"/>
          <w:lang w:val="en-US" w:eastAsia="zh-CN"/>
        </w:rPr>
        <w:t xml:space="preserve">增加2,134,900.00元，</w:t>
      </w:r>
      <w:r>
        <w:rPr>
          <w:rFonts w:eastAsia="仿宋_GB2312" w:hint="eastAsia"/>
          <w:sz w:val="30"/>
          <w:szCs w:val="30"/>
          <w:highlight w:val="none"/>
          <w:lang w:val="en-US" w:eastAsia="zh-CN"/>
        </w:rPr>
        <w:t xml:space="preserve">主要原因是本年度部分人员职称晋升致使人员经费增加、新增文明奖补助等。</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人员经费18,264,100.00元，主要包括</w:t>
      </w:r>
      <w:r>
        <w:rPr>
          <w:rFonts w:eastAsia="仿宋_GB2312" w:hint="eastAsia"/>
          <w:sz w:val="30"/>
          <w:szCs w:val="30"/>
          <w:highlight w:val="none"/>
          <w:lang w:val="en-US" w:eastAsia="zh-CN"/>
        </w:rPr>
        <w:t xml:space="preserve">基本工资、绩效工资、机关事业单位基本养老保险缴费、职业年金缴费、职工基本医疗保险缴费、住房公积金、医疗费、其他工资福利支出、退休费、医疗费补助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公用经费1,415,800.00元，主要包括</w:t>
      </w:r>
      <w:r>
        <w:rPr>
          <w:rFonts w:eastAsia="仿宋_GB2312" w:hint="eastAsia"/>
          <w:sz w:val="30"/>
          <w:szCs w:val="30"/>
          <w:highlight w:val="none"/>
          <w:lang w:val="en-US" w:eastAsia="zh-CN"/>
        </w:rPr>
        <w:t xml:space="preserve">物业管理费、工会经费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天津市妇女儿童保健中心2025年度政府性基金预算财政拨款年初结转和结余0.00元，收入78,000,000.00元，支出78,000,000.00元，年末结转和结余0.00元。与2024年度相比，政府性基金预算财政拨款支出</w:t>
      </w:r>
      <w:r>
        <w:rPr>
          <w:rFonts w:eastAsia="仿宋_GB2312" w:hint="eastAsia"/>
          <w:sz w:val="30"/>
          <w:szCs w:val="30"/>
          <w:highlight w:val="none"/>
          <w:lang w:val="en-US" w:eastAsia="zh-CN"/>
        </w:rPr>
        <w:t xml:space="preserve">增加78,000,000.00元，</w:t>
      </w:r>
      <w:r>
        <w:rPr>
          <w:rFonts w:eastAsia="仿宋_GB2312" w:hint="eastAsia"/>
          <w:sz w:val="30"/>
          <w:szCs w:val="30"/>
          <w:highlight w:val="none"/>
          <w:lang w:val="en-US" w:eastAsia="zh-CN"/>
        </w:rPr>
        <w:t xml:space="preserve">主要原因是本年度新增迁址新建工程。</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2025年度政府性基金预算财政拨款支出78,000,000.00元，主要用于以下方面：</w:t>
      </w:r>
      <w:r>
        <w:rPr>
          <w:rFonts w:eastAsia="仿宋_GB2312" w:hint="eastAsia"/>
          <w:sz w:val="28"/>
          <w:szCs w:val="28"/>
          <w:highlight w:val="none"/>
        </w:rPr>
        <w:t xml:space="preserve">卫生健康支出（类）支出78,000,000.00元，占100.00%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2025年度政府性基金预算财政拨款支出年初预算为0.00元，支出决算为78,000,000.00元</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1.卫生健康支出（类）超长期特别国债安排的支出（款）公共卫生机构（项）年初预算为0.00元，支出决算为78,000,000.00元，决算数大于年初预算数的主要原因是：年中追加了迁址新建工程项目。</w:t>
      </w: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决算数与预算数持平的主要原因是本年度未用财政拨款经费列支因公出国（境）费/公务用车购置费/公务用车运行维护费/公务接待费；</w:t>
      </w:r>
      <w:r>
        <w:rPr>
          <w:rFonts w:eastAsia="仿宋_GB2312" w:hint="eastAsia"/>
          <w:sz w:val="30"/>
          <w:szCs w:val="30"/>
          <w:highlight w:val="none"/>
          <w:lang w:val="en-US" w:eastAsia="zh-CN"/>
        </w:rPr>
        <w:t xml:space="preserve">决算数较上年持平的主要原因是本年度未用财政拨款经费列支因公出国（境）费/公务用车购置费/公务用车运行维护费/公务接待费。</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决算数与预算数持平的主要原因是本年度未用财政拨款经费列支因公出国（境）费；</w:t>
      </w:r>
      <w:r>
        <w:rPr>
          <w:rFonts w:eastAsia="仿宋_GB2312" w:hint="eastAsia"/>
          <w:sz w:val="30"/>
          <w:szCs w:val="30"/>
          <w:highlight w:val="none"/>
          <w:lang w:val="en-US" w:eastAsia="zh-CN"/>
        </w:rPr>
        <w:t xml:space="preserve">决算数较上年持平的主要原因是本年度未用财政拨款经费列支因公出国（境）费。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决算数与预算数持平的主要原因是本年度未用财政拨款经费列支公务用车购置费/公务用车运行维护费；</w:t>
      </w:r>
      <w:r>
        <w:rPr>
          <w:rFonts w:eastAsia="仿宋_GB2312" w:hint="eastAsia"/>
          <w:sz w:val="30"/>
          <w:szCs w:val="30"/>
          <w:highlight w:val="none"/>
          <w:lang w:val="en-US" w:eastAsia="zh-CN"/>
        </w:rPr>
        <w:t xml:space="preserve">决算数较上年持平的主要原因是本年度未用财政拨款经费列支公务用车购置费/公务用车运行维护费。</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决算数与预算数持平的主要原因是本年度未用财政拨款经费列支公务用车运行维护费；</w:t>
      </w:r>
      <w:r>
        <w:rPr>
          <w:rFonts w:eastAsia="仿宋_GB2312" w:hint="eastAsia"/>
          <w:sz w:val="30"/>
          <w:szCs w:val="30"/>
          <w:highlight w:val="none"/>
          <w:lang w:val="en-US" w:eastAsia="zh-CN"/>
        </w:rPr>
        <w:t xml:space="preserve">决算数较上年持平的主要原因是本年度未用财政拨款经费列支公务用车运行维护费。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决算数与预算数持平的主要原因是本年度未用财政拨款经费列支公务用车购置费；</w:t>
      </w:r>
      <w:r>
        <w:rPr>
          <w:rFonts w:eastAsia="仿宋_GB2312" w:hint="eastAsia"/>
          <w:sz w:val="30"/>
          <w:szCs w:val="30"/>
          <w:highlight w:val="none"/>
          <w:lang w:val="en-US" w:eastAsia="zh-CN"/>
        </w:rPr>
        <w:t xml:space="preserve">决算数较上年持平的主要原因是本年度未用财政拨款经费列支公务用车购置费。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决算数与预算数持平的主要原因是本年度未用财政拨款经费列支公务接待费；</w:t>
      </w:r>
      <w:r>
        <w:rPr>
          <w:rFonts w:eastAsia="仿宋_GB2312" w:hint="eastAsia"/>
          <w:sz w:val="30"/>
          <w:szCs w:val="30"/>
          <w:highlight w:val="none"/>
          <w:lang w:val="en-US" w:eastAsia="zh-CN"/>
        </w:rPr>
        <w:t xml:space="preserve">决算数较上年持平的主要原因是本年度未用财政拨款经费列支公务接待费。</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妇女儿童保健中心2025年政府采购支出总额73,213,170.00元，其中：政府采购货物支出24,240,480.00元、政府采购工程支出0.00元、政府采购服务支出48,972,690.00元。授予中小企业合同金额24,220,280.00元，占政府采购支出总额的33.08%，其中：授予小微企业合同金额17,186,000.00元，占政府采购支出总额的23.47%；货物采购授予中小企业合同金额占货物支出金额的42.78%，工程采购授予中小企业合同金额占工程支出金额的0.00%，服务采购授予中小企业合同金额占服务支出金额的28.28%。</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截至2025年12月31日，天津市妇女儿童保健中心共有车辆6辆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其他用车6辆</w:t>
      </w:r>
      <w:r>
        <w:rPr>
          <w:rFonts w:eastAsia="仿宋_GB2312" w:hint="eastAsia"/>
          <w:sz w:val="30"/>
          <w:szCs w:val="30"/>
          <w:highlight w:val="none"/>
          <w:lang w:val="en-US" w:eastAsia="zh-CN"/>
        </w:rPr>
        <w:t xml:space="preserve">，其他用车主要包括各区县妇幼取送血片用车，托幼园所查体业务用车</w:t>
      </w:r>
      <w:r>
        <w:rPr>
          <w:rFonts w:eastAsia="仿宋_GB2312" w:hint="eastAsia"/>
          <w:sz w:val="30"/>
          <w:szCs w:val="30"/>
          <w:highlight w:val="none"/>
          <w:lang w:val="en-US" w:eastAsia="zh-CN"/>
        </w:rPr>
        <w:t xml:space="preserve">。单价100万元以上的设备33台（套）。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根据预算绩效管理要求，天津市妇女儿童保健中心已对7个2025年度市级项目开展绩效自评，涉及金额40314226.04元，自评结果已随部门决算一并公开。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天津市妇女儿童保健中心不属于乡、镇、街级单位，不涉及公开2025年度教育、医疗卫生、社会保障和就业、住房保障、涉农补贴等民生支出情况。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590573A8-231A-4291-B80F-72DDA7D8E313}"/>
    <w:embedBold r:id="rId2" w:subsetted="1" w:fontKey="{E9287210-851D-40C5-94A7-E810B10948A3}"/>
  </w:font>
  <w:font w:name="Cambria">
    <w:panose1 w:val="02040503050406030204"/>
    <w:charset w:val="00"/>
    <w:family w:val="roman"/>
    <w:pitch w:val="default"/>
    <w:sig w:usb0="E00006FF" w:usb1="420024FF" w:usb2="02000000" w:usb3="00000000" w:csb0="2000019F" w:csb1="00000000"/>
    <w:embedRegular r:id="rId3" w:fontKey="{D359EAA5-CDC9-4077-BFB1-162E0406CEC4}"/>
  </w:font>
  <w:font w:name="Calibri">
    <w:panose1 w:val="020F0502020204030204"/>
    <w:charset w:val="00"/>
    <w:family w:val="swiss"/>
    <w:pitch w:val="default"/>
    <w:sig w:usb0="E4002EFF" w:usb1="C200247B" w:usb2="00000009" w:usb3="00000000" w:csb0="200001FF" w:csb1="00000000"/>
    <w:embedRegular r:id="rId4" w:fontKey="{B0FF138D-2991-4F11-9B72-D95426B4D760}"/>
  </w:font>
  <w:font w:name="黑体">
    <w:panose1 w:val="02010609060101010101"/>
    <w:charset w:val="FFFFFF86"/>
    <w:family w:val="auto"/>
    <w:pitch w:val="default"/>
    <w:sig w:usb0="800002BF" w:usb1="38CF7CFA" w:usb2="00000016" w:usb3="00000000" w:csb0="00040001" w:csb1="00000000"/>
    <w:embedRegular r:id="rId5" w:subsetted="1" w:fontKey="{36F94FDB-4D49-4CF1-92E0-7DE2B0CE212E}"/>
    <w:embedBold r:id="rId6" w:subsetted="1" w:fontKey="{21749C02-543E-48CF-9FA6-8A593DA674A9}"/>
  </w:font>
  <w:font w:name="方正小标宋简体">
    <w:altName w:val="黑体"/>
    <w:panose1 w:val="02000000000000000000"/>
    <w:charset w:val="FFFFFF86"/>
    <w:family w:val="auto"/>
    <w:pitch w:val="default"/>
    <w:sig w:usb0="00000001" w:usb1="08000000" w:usb2="00000000" w:usb3="00000000" w:csb0="00040000" w:csb1="00000000"/>
    <w:embedRegular r:id="rId7" w:fontKey="{258B9B3B-437D-4F89-936C-2812F32636A0}"/>
    <w:embedBold r:id="rId8" w:fontKey="{8867B4BD-239F-4142-8ACA-16AD6BA32C73}"/>
  </w:font>
  <w:font w:name="仿宋">
    <w:panose1 w:val="02010609060101010101"/>
    <w:charset w:val="FFFFFF86"/>
    <w:family w:val="auto"/>
    <w:pitch w:val="default"/>
    <w:sig w:usb0="800002BF" w:usb1="38CF7CFA" w:usb2="00000016" w:usb3="00000000" w:csb0="00040001" w:csb1="00000000"/>
    <w:embedRegular r:id="rId9" w:subsetted="1" w:fontKey="{49184F28-42CD-4FAD-8516-A114575BD87B}"/>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F1B4A38E-9ADD-4CA7-A4B9-84F41151DC3C}"/>
  </w:font>
  <w:font w:name="方正楷体_GB2312">
    <w:altName w:val="宋体"/>
    <w:panose1 w:val="02000000000000000000"/>
    <w:charset w:val="FFFFFF86"/>
    <w:family w:val="auto"/>
    <w:pitch w:val="default"/>
    <w:sig w:usb0="A00002BF" w:usb1="184F6CFA" w:usb2="00000012" w:usb3="00000000" w:csb0="00040001" w:csb1="00000000"/>
    <w:embedRegular r:id="rId11" w:fontKey="{2C8A682A-DC67-4A8F-AF7D-D8A4939BB23C}"/>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7131EBBF-0983-40A9-A787-57E431B5C6E3}"/>
    <w:embedBold r:id="rId13" w:subsetted="1" w:fontKey="{A3DA0786-EDE8-4C4D-97F8-CB3B32A80A0B}"/>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4</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8</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23</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33</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36</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